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image/png" Extension="png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h.gjdgxs" w:id="0"/>
      <w:bookmarkEnd w:id="0"/>
      <w:r w:rsidDel="00000000" w:rsidR="00000000" w:rsidRPr="00000000">
        <w:rPr>
          <w:sz w:val="40"/>
          <w:szCs w:val="40"/>
        </w:rPr>
        <w:t xml:space="preserve">PLAN DE MONTAJE DE LA ESTACIÓN 1 DEL PROYECTO FLEXLINK.</w:t>
      </w: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  <w:t xml:space="preserve">PASO1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  <w:t xml:space="preserve">Fijar la base ref. (E1_BS_PIE)  al perfil de aluminio ref. (CF_PERF), mediante cuatro tornillos Allen ref. (E1_T.allen_ M5X16). Roscar el pie telescópico ref. (E1_PIE)  a la base y regular la altura mediante la tuerca de regulación. Realizar este paso en las dos patas.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1367155</wp:posOffset>
            </wp:positionH>
            <wp:positionV relativeFrom="paragraph">
              <wp:posOffset>180340</wp:posOffset>
            </wp:positionV>
            <wp:extent cx="2809875" cy="4934585"/>
            <wp:effectExtent b="0" l="0" r="0" t="0"/>
            <wp:wrapSquare wrapText="bothSides" distB="0" distT="0" distL="114300" distR="114300"/>
            <wp:docPr id="9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49345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  <w:t xml:space="preserve">PASO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  <w:t xml:space="preserve">Fijar las patas a la base de la estación mediante unas escuadras. Para fijar la escuadra a la base, utilizar tornillos de cabeza inclinada y de estrella, metrico5 por 20 mm de longitud ref. (E1_TRN_M5X20) con tuercas de métrico 5  y arandelas. Y para fijar la escuadra al perfil utilizar tornillos autoroscantes ref. (E1_AUTO_ROSC_M5).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484505</wp:posOffset>
            </wp:positionH>
            <wp:positionV relativeFrom="paragraph">
              <wp:posOffset>257810</wp:posOffset>
            </wp:positionV>
            <wp:extent cx="4679950" cy="3341370"/>
            <wp:effectExtent b="0" l="0" r="0" t="0"/>
            <wp:wrapSquare wrapText="bothSides" distB="0" distT="0" distL="114300" distR="114300"/>
            <wp:docPr id="11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341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  <w:t xml:space="preserve">PASO 3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  <w:t xml:space="preserve">Fijar el cilindro a la base mediante las estructura de sujeción cilindro ref. (E1_SUJ_CIL), a la base. Utilizando 4 tornillos de cabeza Allen, métrico 5 por 20 mm de longitud ref. (E1_TRN_M5X20)  y 4 tuercas métrico 5 ref. (E1_TRC_M5)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560705</wp:posOffset>
            </wp:positionH>
            <wp:positionV relativeFrom="paragraph">
              <wp:posOffset>828040</wp:posOffset>
            </wp:positionV>
            <wp:extent cx="4679950" cy="3079115"/>
            <wp:effectExtent b="0" l="0" r="0" t="0"/>
            <wp:wrapSquare wrapText="bothSides" distB="0" distT="0" distL="114300" distR="114300"/>
            <wp:docPr id="12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0791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  <w:t xml:space="preserve">PASO 4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  <w:t xml:space="preserve">Fijar guía del cilindro ref. (E1_GUIA_CIL) a la base con dos tornillos  Allen, métrico 5 por 16 mm de longitud ref.  (E1_T.allen_ M5X16) y dos tuercas métrico5 ref. (E1_TRC_M5).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drawing>
          <wp:inline distB="0" distT="0" distL="0" distR="0">
            <wp:extent cx="4076700" cy="4667250"/>
            <wp:effectExtent b="0" l="0" r="0" t="0"/>
            <wp:docPr id="13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667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  <w:t xml:space="preserve">PASO 5</w:t>
      </w:r>
    </w:p>
    <w:p w:rsidR="00000000" w:rsidDel="00000000" w:rsidP="00000000" w:rsidRDefault="00000000" w:rsidRPr="00000000">
      <w:pPr>
        <w:ind w:left="720" w:firstLine="0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/>
        <w:t xml:space="preserve">Fijar la Cuña del vibrador ref. (E1_CUÑA_VIBRA) en el vibrador mediante un  Tornillo Allen, métrico 5 por 25 mm de longitud ref. (E1_T.allen_ M5X25).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1426845</wp:posOffset>
            </wp:positionH>
            <wp:positionV relativeFrom="paragraph">
              <wp:posOffset>203835</wp:posOffset>
            </wp:positionV>
            <wp:extent cx="2759075" cy="3400425"/>
            <wp:effectExtent b="0" l="0" r="0" t="0"/>
            <wp:wrapSquare wrapText="bothSides" distB="0" distT="0" distL="114300" distR="114300"/>
            <wp:docPr id="14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9075" cy="3400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  <w:t xml:space="preserve">PASO 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  <w:t xml:space="preserve">Colocar dos escuadras en la pata trasera como se indica en el dibujo explicativo. Utilizar dos tornillos autoroscantes ref. (E1_AUTO_ROSC_M5), para unir las escuadras a la pata trasera.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514985</wp:posOffset>
            </wp:positionH>
            <wp:positionV relativeFrom="paragraph">
              <wp:posOffset>-50164</wp:posOffset>
            </wp:positionV>
            <wp:extent cx="4679950" cy="2343150"/>
            <wp:effectExtent b="0" l="0" r="0" t="0"/>
            <wp:wrapSquare wrapText="bothSides" distB="0" distT="0" distL="114300" distR="114300"/>
            <wp:docPr id="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343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  <w:t xml:space="preserve">PASO 7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  <w:t xml:space="preserve">Unir el vibrador a la estructura mediante dos tornillos  Allen, métrico 5 por 25 mm de longitud ref. (E1_T.allen_ M5X25) y por las escuadras traseras atornillar dos tornillos  autoroscantes  ref. (E1_AUTO_ROSC_M5) por cada escuadra para añadir más fuerza a la unión.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4267200</wp:posOffset>
            </wp:positionH>
            <wp:positionV relativeFrom="paragraph">
              <wp:posOffset>101600</wp:posOffset>
            </wp:positionV>
            <wp:extent cx="292100" cy="495300"/>
            <wp:effectExtent b="0" l="0" r="0" t="0"/>
            <wp:wrapNone/>
            <wp:docPr id="20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-255904</wp:posOffset>
            </wp:positionH>
            <wp:positionV relativeFrom="paragraph">
              <wp:posOffset>41275</wp:posOffset>
            </wp:positionV>
            <wp:extent cx="4024630" cy="3305810"/>
            <wp:effectExtent b="0" l="0" r="0" t="0"/>
            <wp:wrapSquare wrapText="bothSides" distB="0" distT="0" distL="114300" distR="114300"/>
            <wp:docPr id="1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4630" cy="33058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tabs>
          <w:tab w:val="left" w:pos="2542"/>
        </w:tabs>
        <w:contextualSpacing w:val="0"/>
      </w:pPr>
      <w:r w:rsidDel="00000000" w:rsidR="00000000" w:rsidRPr="00000000">
        <w:rPr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-1346199</wp:posOffset>
            </wp:positionH>
            <wp:positionV relativeFrom="paragraph">
              <wp:posOffset>152400</wp:posOffset>
            </wp:positionV>
            <wp:extent cx="1447800" cy="1397000"/>
            <wp:effectExtent b="0" l="0" r="0" t="0"/>
            <wp:wrapNone/>
            <wp:docPr id="21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97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269240</wp:posOffset>
            </wp:positionH>
            <wp:positionV relativeFrom="paragraph">
              <wp:posOffset>24765</wp:posOffset>
            </wp:positionV>
            <wp:extent cx="2126615" cy="2329180"/>
            <wp:effectExtent b="0" l="0" r="0" t="0"/>
            <wp:wrapSquare wrapText="bothSides" distB="0" distT="0" distL="114300" distR="114300"/>
            <wp:docPr id="4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6615" cy="2329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tabs>
          <w:tab w:val="left" w:pos="6148"/>
        </w:tabs>
        <w:contextualSpacing w:val="0"/>
      </w:pPr>
      <w:r w:rsidDel="00000000" w:rsidR="00000000" w:rsidRPr="00000000">
        <w:rPr/>
        <w:tab/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-88899</wp:posOffset>
            </wp:positionH>
            <wp:positionV relativeFrom="paragraph">
              <wp:posOffset>508000</wp:posOffset>
            </wp:positionV>
            <wp:extent cx="342900" cy="50800"/>
            <wp:effectExtent b="0" l="0" r="0" t="0"/>
            <wp:wrapNone/>
            <wp:docPr id="18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0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r w:rsidDel="00000000" w:rsidR="00000000" w:rsidRPr="00000000">
        <w:rPr/>
        <w:t xml:space="preserve">PASO 8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  <w:t xml:space="preserve">Unir la plataforma a la cuña mediante dos tornillos  de cabeza inclinada y de estrella, metrico5 por 10 mm de longitud ref. (E1_TRN_M5X10).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71120</wp:posOffset>
            </wp:positionH>
            <wp:positionV relativeFrom="paragraph">
              <wp:posOffset>308610</wp:posOffset>
            </wp:positionV>
            <wp:extent cx="4679950" cy="2985770"/>
            <wp:effectExtent b="0" l="0" r="0" t="0"/>
            <wp:wrapSquare wrapText="bothSides" distB="0" distT="0" distL="114300" distR="114300"/>
            <wp:docPr id="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9857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1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1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1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1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1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1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1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1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1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1"/>
        <w:contextualSpacing w:val="0"/>
        <w:jc w:val="center"/>
      </w:pPr>
      <w:r w:rsidDel="00000000" w:rsidR="00000000" w:rsidRPr="00000000">
        <w:rPr/>
        <w:t xml:space="preserve">Materiales necesarios para el montaje.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t xml:space="preserve">Perfil aluminio ref. (CF_PERF) Cant. X 1</w:t>
      </w:r>
      <w:r w:rsidDel="00000000" w:rsidR="00000000" w:rsidRPr="00000000">
        <w:rPr/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t xml:space="preserve">Actuador lineal ref. (E1_CIL_A) Cant. X 1</w:t>
      </w:r>
      <w:r w:rsidDel="00000000" w:rsidR="00000000" w:rsidRPr="00000000">
        <w:rPr/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t xml:space="preserve">Plataforma ref. (E1_PLTFRM) Cant. X 1</w:t>
      </w:r>
      <w:r w:rsidDel="00000000" w:rsidR="00000000" w:rsidRPr="00000000">
        <w:rPr/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t xml:space="preserve">Base ref. (E1_BS) Cant. X 1</w:t>
      </w:r>
      <w:r w:rsidDel="00000000" w:rsidR="00000000" w:rsidRPr="00000000">
        <w:rPr/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t xml:space="preserve">Tornillo de cabeza inclinada y de estrella, metrico5 por 20 mm de longitud ref. (E1_TRN_M5X20) Cant. X 18</w:t>
      </w:r>
      <w:r w:rsidDel="00000000" w:rsidR="00000000" w:rsidRPr="00000000">
        <w:rPr/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t xml:space="preserve">Pie de apoyo telescópico ref. (E1_PIE) Cant. X 2</w:t>
      </w:r>
      <w:r w:rsidDel="00000000" w:rsidR="00000000" w:rsidRPr="00000000">
        <w:rPr/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t xml:space="preserve">Tuerca nivelación metrico16 ref. (E1_TRC_NIVEL) Cant. X 2</w:t>
      </w:r>
      <w:r w:rsidDel="00000000" w:rsidR="00000000" w:rsidRPr="00000000">
        <w:rPr/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t xml:space="preserve">Base del pie ref. (E1_BS_PIE) Cant. X 2</w:t>
      </w:r>
      <w:r w:rsidDel="00000000" w:rsidR="00000000" w:rsidRPr="00000000">
        <w:rPr/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t xml:space="preserve">Tuerca métrico5 ref. (E1_TRC_M5) Cant. X  24</w:t>
      </w:r>
      <w:r w:rsidDel="00000000" w:rsidR="00000000" w:rsidRPr="00000000">
        <w:rPr/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t xml:space="preserve">Tornillo Allen, métrico 5 por 16 mm de longitud ref. (E1_T.allen_ M5X16) Cant. X6</w:t>
      </w:r>
      <w:r w:rsidDel="00000000" w:rsidR="00000000" w:rsidRPr="00000000">
        <w:rPr/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t xml:space="preserve">Tornillos  autoroscantes  ref. (E1_AUTO_ROSC_M5) Cant.X8</w:t>
      </w:r>
      <w:r w:rsidDel="00000000" w:rsidR="00000000" w:rsidRPr="00000000">
        <w:rPr/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t xml:space="preserve">Estructura sujeción cilindro ref. ( E1_SUJ_CIL) Cant. X 2</w:t>
      </w:r>
      <w:r w:rsidDel="00000000" w:rsidR="00000000" w:rsidRPr="00000000">
        <w:rPr/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t xml:space="preserve">Guía del cilindro ref. (E1_GUIA_CIL) Cant. X 1. </w:t>
      </w:r>
      <w:r w:rsidDel="00000000" w:rsidR="00000000" w:rsidRPr="00000000">
        <w:rPr/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t xml:space="preserve">Cuña del vibrador ref. (E1_CUÑA_VIBRA) Cant. X 1</w:t>
      </w:r>
      <w:r w:rsidDel="00000000" w:rsidR="00000000" w:rsidRPr="00000000">
        <w:rPr/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t xml:space="preserve">Tornillo Allen, métrico 5 por 25 mm de longitud ref. (E1_T.allen_ M5X25) Cant. X3</w:t>
      </w:r>
      <w:r w:rsidDel="00000000" w:rsidR="00000000" w:rsidRPr="00000000">
        <w:rPr/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before="0" w:line="276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t xml:space="preserve">Tornillo de cabeza inclinada y de estrella, metrico5 por 10 mm de longitud ref. (E1_TRN_M5X20) Cant. X 2</w:t>
      </w:r>
      <w:r w:rsidDel="00000000" w:rsidR="00000000" w:rsidRPr="00000000">
        <w:rPr/>
      </w:r>
    </w:p>
    <w:p w:rsidR="00000000" w:rsidDel="00000000" w:rsidP="00000000" w:rsidRDefault="00000000" w:rsidRPr="00000000">
      <w:pPr>
        <w:pStyle w:val="Heading1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1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1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1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1"/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pStyle w:val="Heading1"/>
        <w:contextualSpacing w:val="0"/>
        <w:jc w:val="center"/>
      </w:pPr>
      <w:r w:rsidDel="00000000" w:rsidR="00000000" w:rsidRPr="00000000">
        <w:rPr/>
        <w:t xml:space="preserve">HERRAMIENTAS NECESARIAS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tbl>
      <w:tblPr>
        <w:tblStyle w:val="Table1"/>
        <w:bidi w:val="0"/>
        <w:tblW w:w="7510.0" w:type="dxa"/>
        <w:jc w:val="center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55"/>
        <w:gridCol w:w="3755"/>
        <w:tblGridChange w:id="0">
          <w:tblGrid>
            <w:gridCol w:w="3755"/>
            <w:gridCol w:w="375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/>
              <w:t xml:space="preserve">Destornillador de estrella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/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/>
            </w:r>
            <w:r w:rsidDel="00000000" w:rsidR="00000000" w:rsidRPr="00000000">
              <w:drawing>
                <wp:anchor allowOverlap="0" behindDoc="0" distB="0" distT="0" distL="114300" distR="114300" hidden="0" layoutInCell="0" locked="0" relativeHeight="0" simplePos="0">
                  <wp:simplePos x="0" y="0"/>
                  <wp:positionH relativeFrom="margin">
                    <wp:posOffset>1314450</wp:posOffset>
                  </wp:positionH>
                  <wp:positionV relativeFrom="paragraph">
                    <wp:posOffset>-2795269</wp:posOffset>
                  </wp:positionV>
                  <wp:extent cx="1407600" cy="882000"/>
                  <wp:effectExtent b="0" l="0" r="0" t="0"/>
                  <wp:wrapSquare wrapText="bothSides" distB="0" distT="0" distL="114300" distR="114300"/>
                  <wp:docPr descr="http://www.prevencar.es/images/stories/destornillador-philips.jpg" id="5" name="image25.jpg"/>
                  <a:graphic>
                    <a:graphicData uri="http://schemas.openxmlformats.org/drawingml/2006/picture">
                      <pic:pic>
                        <pic:nvPicPr>
                          <pic:cNvPr descr="http://www.prevencar.es/images/stories/destornillador-philips.jpg" id="0" name="image25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600" cy="882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/>
              <w:t xml:space="preserve">Juego de llaves Allen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/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/>
            </w:r>
            <w:r w:rsidDel="00000000" w:rsidR="00000000" w:rsidRPr="00000000">
              <w:drawing>
                <wp:anchor allowOverlap="0" behindDoc="0" distB="0" distT="0" distL="114300" distR="114300" hidden="0" layoutInCell="0" locked="0" relativeHeight="0" simplePos="0">
                  <wp:simplePos x="0" y="0"/>
                  <wp:positionH relativeFrom="margin">
                    <wp:posOffset>604520</wp:posOffset>
                  </wp:positionH>
                  <wp:positionV relativeFrom="paragraph">
                    <wp:posOffset>169545</wp:posOffset>
                  </wp:positionV>
                  <wp:extent cx="985520" cy="985520"/>
                  <wp:effectExtent b="0" l="0" r="0" t="0"/>
                  <wp:wrapSquare wrapText="bothSides" distB="0" distT="0" distL="114300" distR="114300"/>
                  <wp:docPr descr="http://www.blape.es/imagenes/imagenarticulo/230501000305.jpg" id="6" name="image26.jpg"/>
                  <a:graphic>
                    <a:graphicData uri="http://schemas.openxmlformats.org/drawingml/2006/picture">
                      <pic:pic>
                        <pic:nvPicPr>
                          <pic:cNvPr descr="http://www.blape.es/imagenes/imagenarticulo/230501000305.jpg" id="0" name="image26.jp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9855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/>
              <w:t xml:space="preserve">Taladro de batería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/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/>
            </w:r>
            <w:r w:rsidDel="00000000" w:rsidR="00000000" w:rsidRPr="00000000">
              <w:drawing>
                <wp:anchor allowOverlap="0" behindDoc="0" distB="0" distT="0" distL="114300" distR="114300" hidden="0" layoutInCell="0" locked="0" relativeHeight="0" simplePos="0">
                  <wp:simplePos x="0" y="0"/>
                  <wp:positionH relativeFrom="margin">
                    <wp:posOffset>480694</wp:posOffset>
                  </wp:positionH>
                  <wp:positionV relativeFrom="paragraph">
                    <wp:posOffset>70485</wp:posOffset>
                  </wp:positionV>
                  <wp:extent cx="1101725" cy="1216025"/>
                  <wp:effectExtent b="0" l="0" r="0" t="0"/>
                  <wp:wrapSquare wrapText="bothSides" distB="0" distT="0" distL="114300" distR="114300"/>
                  <wp:docPr descr="http://www.ferrovicmar.com/imagen-herramientas/taladro-gsb14-2v/taladro-gsb14-2v.jpg" id="7" name="image27.jpg"/>
                  <a:graphic>
                    <a:graphicData uri="http://schemas.openxmlformats.org/drawingml/2006/picture">
                      <pic:pic>
                        <pic:nvPicPr>
                          <pic:cNvPr descr="http://www.ferrovicmar.com/imagen-herramientas/taladro-gsb14-2v/taladro-gsb14-2v.jpg" id="0" name="image27.jp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1216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/>
              <w:t xml:space="preserve">Nivel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/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/>
            </w:r>
            <w:r w:rsidDel="00000000" w:rsidR="00000000" w:rsidRPr="00000000">
              <w:drawing>
                <wp:anchor allowOverlap="0" behindDoc="0" distB="0" distT="0" distL="114300" distR="114300" hidden="0" layoutInCell="0" locked="0" relativeHeight="0" simplePos="0">
                  <wp:simplePos x="0" y="0"/>
                  <wp:positionH relativeFrom="margin">
                    <wp:posOffset>481965</wp:posOffset>
                  </wp:positionH>
                  <wp:positionV relativeFrom="paragraph">
                    <wp:posOffset>-1269</wp:posOffset>
                  </wp:positionV>
                  <wp:extent cx="1335405" cy="1129030"/>
                  <wp:effectExtent b="0" l="0" r="0" t="0"/>
                  <wp:wrapSquare wrapText="bothSides" distB="0" distT="0" distL="114300" distR="114300"/>
                  <wp:docPr descr="http://www.maquitodo.com.co/media/catalog/product/cache/1/image/9df78eab33525d08d6e5fb8d27136e95/S/T/ST42-465.jpg" id="8" name="image28.jpg"/>
                  <a:graphic>
                    <a:graphicData uri="http://schemas.openxmlformats.org/drawingml/2006/picture">
                      <pic:pic>
                        <pic:nvPicPr>
                          <pic:cNvPr descr="http://www.maquitodo.com.co/media/catalog/product/cache/1/image/9df78eab33525d08d6e5fb8d27136e95/S/T/ST42-465.jpg" id="0" name="image28.jp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405" cy="1129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/>
              <w:t xml:space="preserve">Juego de llaves fijas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/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/>
            </w:r>
            <w:r w:rsidDel="00000000" w:rsidR="00000000" w:rsidRPr="00000000">
              <w:drawing>
                <wp:anchor allowOverlap="0" behindDoc="0" distB="0" distT="0" distL="114300" distR="114300" hidden="0" layoutInCell="0" locked="0" relativeHeight="0" simplePos="0">
                  <wp:simplePos x="0" y="0"/>
                  <wp:positionH relativeFrom="margin">
                    <wp:posOffset>531495</wp:posOffset>
                  </wp:positionH>
                  <wp:positionV relativeFrom="paragraph">
                    <wp:posOffset>635</wp:posOffset>
                  </wp:positionV>
                  <wp:extent cx="1291590" cy="985520"/>
                  <wp:effectExtent b="0" l="0" r="0" t="0"/>
                  <wp:wrapSquare wrapText="bothSides" distB="0" distT="0" distL="114300" distR="114300"/>
                  <wp:docPr descr="http://www.bigmat.es/public_upload/admin/Productos/6490-8.jpg" id="10" name="image30.jpg"/>
                  <a:graphic>
                    <a:graphicData uri="http://schemas.openxmlformats.org/drawingml/2006/picture">
                      <pic:pic>
                        <pic:nvPicPr>
                          <pic:cNvPr descr="http://www.bigmat.es/public_upload/admin/Productos/6490-8.jpg" id="0" name="image30.jp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9855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/>
      </w:r>
    </w:p>
    <w:sectPr>
      <w:headerReference r:id="rId22" w:type="default"/>
      <w:footerReference r:id="rId23" w:type="default"/>
      <w:pgSz w:h="16838" w:w="11906"/>
      <w:pgMar w:bottom="1417" w:top="1417" w:left="1701" w:right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252"/>
        <w:tab w:val="right" w:pos="8504"/>
      </w:tabs>
      <w:spacing w:after="0" w:before="0" w:line="240" w:lineRule="auto"/>
      <w:contextualSpacing w:val="0"/>
    </w:pPr>
    <w:r w:rsidDel="00000000" w:rsidR="00000000" w:rsidRPr="00000000">
      <w:rPr/>
    </w:r>
  </w:p>
  <w:tbl>
    <w:tblPr>
      <w:tblStyle w:val="Table3"/>
      <w:bidi w:val="0"/>
      <w:tblW w:w="10065.0" w:type="dxa"/>
      <w:jc w:val="left"/>
      <w:tblInd w:w="-716.0" w:type="dxa"/>
      <w:tblBorders>
        <w:top w:color="000000" w:space="0" w:sz="4" w:val="single"/>
      </w:tblBorders>
      <w:tblLayout w:type="fixed"/>
      <w:tblLook w:val="0400"/>
    </w:tblPr>
    <w:tblGrid>
      <w:gridCol w:w="851"/>
      <w:gridCol w:w="709"/>
      <w:gridCol w:w="8505"/>
      <w:tblGridChange w:id="0">
        <w:tblGrid>
          <w:gridCol w:w="851"/>
          <w:gridCol w:w="709"/>
          <w:gridCol w:w="8505"/>
        </w:tblGrid>
      </w:tblGridChange>
    </w:tblGrid>
    <w:tr>
      <w:trPr>
        <w:trHeight w:val="60" w:hRule="atLeast"/>
      </w:trPr>
      <w:tc>
        <w:tcPr>
          <w:tcBorders>
            <w:top w:color="808080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>
          <w:pPr>
            <w:tabs>
              <w:tab w:val="center" w:pos="4252"/>
              <w:tab w:val="right" w:pos="8504"/>
            </w:tabs>
            <w:spacing w:after="0" w:line="276" w:lineRule="auto"/>
            <w:ind w:left="-108" w:firstLine="0"/>
            <w:contextualSpacing w:val="0"/>
          </w:pPr>
          <w:r w:rsidDel="00000000" w:rsidR="00000000" w:rsidRPr="00000000">
            <w:drawing>
              <wp:inline distB="0" distT="0" distL="0" distR="0">
                <wp:extent cx="466725" cy="381000"/>
                <wp:effectExtent b="0" l="0" r="0" t="0"/>
                <wp:docPr descr="Descripción: logo pa" id="16" name="image36.jpg"/>
                <a:graphic>
                  <a:graphicData uri="http://schemas.openxmlformats.org/drawingml/2006/picture">
                    <pic:pic>
                      <pic:nvPicPr>
                        <pic:cNvPr descr="Descripción: logo pa" id="0" name="image36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/>
          </w:r>
        </w:p>
      </w:tc>
      <w:tc>
        <w:tcPr>
          <w:tcBorders>
            <w:top w:color="808080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>
          <w:pPr>
            <w:spacing w:line="276" w:lineRule="auto"/>
            <w:ind w:left="-108" w:firstLine="0"/>
            <w:contextualSpacing w:val="0"/>
            <w:jc w:val="center"/>
          </w:pPr>
          <w:r w:rsidDel="00000000" w:rsidR="00000000" w:rsidRPr="00000000">
            <w:rPr/>
          </w:r>
        </w:p>
        <w:p w:rsidR="00000000" w:rsidDel="00000000" w:rsidP="00000000" w:rsidRDefault="00000000" w:rsidRPr="00000000">
          <w:pPr>
            <w:spacing w:after="0" w:line="276" w:lineRule="auto"/>
            <w:ind w:left="-108" w:firstLine="0"/>
            <w:contextualSpacing w:val="0"/>
            <w:jc w:val="center"/>
          </w:pPr>
          <w:r w:rsidDel="00000000" w:rsidR="00000000" w:rsidRPr="00000000">
            <w:drawing>
              <wp:inline distB="0" distT="0" distL="114300" distR="114300">
                <wp:extent cx="304800" cy="666750"/>
                <wp:effectExtent b="0" l="0" r="0" t="0"/>
                <wp:docPr id="1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/>
          </w:r>
        </w:p>
      </w:tc>
      <w:tc>
        <w:tcPr>
          <w:tcBorders>
            <w:top w:color="808080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>
          <w:pPr>
            <w:spacing w:after="0" w:line="276" w:lineRule="auto"/>
            <w:contextualSpacing w:val="0"/>
          </w:pPr>
          <w:r w:rsidDel="00000000" w:rsidR="00000000" w:rsidRPr="00000000">
            <w:rPr/>
          </w:r>
        </w:p>
      </w:tc>
    </w:tr>
  </w:tbl>
  <w:p w:rsidR="00000000" w:rsidDel="00000000" w:rsidP="00000000" w:rsidRDefault="00000000" w:rsidRPr="00000000">
    <w:pPr>
      <w:tabs>
        <w:tab w:val="center" w:pos="4252"/>
        <w:tab w:val="right" w:pos="8504"/>
      </w:tabs>
      <w:spacing w:after="0" w:before="0" w:line="240" w:lineRule="auto"/>
      <w:contextualSpacing w:val="0"/>
    </w:pPr>
    <w:r w:rsidDel="00000000" w:rsidR="00000000" w:rsidRPr="00000000">
      <w:rPr/>
    </w:r>
  </w:p>
  <w:p w:rsidR="00000000" w:rsidDel="00000000" w:rsidP="00000000" w:rsidRDefault="00000000" w:rsidRPr="00000000">
    <w:pPr>
      <w:tabs>
        <w:tab w:val="center" w:pos="4252"/>
        <w:tab w:val="right" w:pos="8504"/>
      </w:tabs>
      <w:spacing w:after="0" w:before="0" w:line="240" w:lineRule="auto"/>
      <w:contextualSpacing w:val="0"/>
    </w:pPr>
    <w:r w:rsidDel="00000000" w:rsidR="00000000" w:rsidRPr="00000000">
      <w:rPr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252"/>
        <w:tab w:val="right" w:pos="8504"/>
      </w:tabs>
      <w:spacing w:after="0" w:before="340" w:line="240" w:lineRule="auto"/>
      <w:contextualSpacing w:val="0"/>
    </w:pPr>
    <w:r w:rsidDel="00000000" w:rsidR="00000000" w:rsidRPr="00000000">
      <w:rPr/>
    </w:r>
  </w:p>
  <w:tbl>
    <w:tblPr>
      <w:tblStyle w:val="Table2"/>
      <w:bidi w:val="0"/>
      <w:tblW w:w="9568.0" w:type="dxa"/>
      <w:jc w:val="left"/>
      <w:tblInd w:w="-541.0" w:type="dxa"/>
      <w:tblLayout w:type="fixed"/>
      <w:tblLook w:val="0400"/>
    </w:tblPr>
    <w:tblGrid>
      <w:gridCol w:w="524"/>
      <w:gridCol w:w="4438"/>
      <w:gridCol w:w="4606"/>
      <w:tblGridChange w:id="0">
        <w:tblGrid>
          <w:gridCol w:w="524"/>
          <w:gridCol w:w="4438"/>
          <w:gridCol w:w="4606"/>
        </w:tblGrid>
      </w:tblGridChange>
    </w:tblGrid>
    <w:tr>
      <w:trPr>
        <w:trHeight w:val="840" w:hRule="atLeast"/>
      </w:trPr>
      <w:tc>
        <w:tcPr/>
        <w:p w:rsidR="00000000" w:rsidDel="00000000" w:rsidP="00000000" w:rsidRDefault="00000000" w:rsidRPr="00000000">
          <w:pPr>
            <w:tabs>
              <w:tab w:val="center" w:pos="4252"/>
              <w:tab w:val="right" w:pos="8504"/>
            </w:tabs>
            <w:spacing w:after="0" w:before="340" w:line="276" w:lineRule="auto"/>
            <w:ind w:right="-250"/>
            <w:contextualSpacing w:val="0"/>
          </w:pPr>
          <w:r w:rsidDel="00000000" w:rsidR="00000000" w:rsidRPr="00000000">
            <w:drawing>
              <wp:inline distB="0" distT="0" distL="0" distR="0">
                <wp:extent cx="287020" cy="318770"/>
                <wp:effectExtent b="0" l="0" r="0" t="0"/>
                <wp:docPr descr="Descripción: Generalitat vermell" id="15" name="image35.jpg"/>
                <a:graphic>
                  <a:graphicData uri="http://schemas.openxmlformats.org/drawingml/2006/picture">
                    <pic:pic>
                      <pic:nvPicPr>
                        <pic:cNvPr descr="Descripción: Generalitat vermell" id="0" name="image35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020" cy="3187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/>
          </w:r>
        </w:p>
      </w:tc>
      <w:tc>
        <w:tcPr>
          <w:vAlign w:val="center"/>
        </w:tcPr>
        <w:p w:rsidR="00000000" w:rsidDel="00000000" w:rsidP="00000000" w:rsidRDefault="00000000" w:rsidRPr="00000000">
          <w:pPr>
            <w:tabs>
              <w:tab w:val="center" w:pos="4252"/>
              <w:tab w:val="right" w:pos="8504"/>
            </w:tabs>
            <w:spacing w:after="0" w:before="340" w:line="276" w:lineRule="auto"/>
            <w:contextualSpacing w:val="0"/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</w:rPr>
            <w:t xml:space="preserve">Generalitat de Catalunya</w:t>
          </w:r>
          <w:r w:rsidDel="00000000" w:rsidR="00000000" w:rsidRPr="00000000">
            <w:rPr/>
          </w:r>
        </w:p>
        <w:p w:rsidR="00000000" w:rsidDel="00000000" w:rsidP="00000000" w:rsidRDefault="00000000" w:rsidRPr="00000000">
          <w:pPr>
            <w:tabs>
              <w:tab w:val="center" w:pos="4252"/>
              <w:tab w:val="right" w:pos="8504"/>
            </w:tabs>
            <w:spacing w:after="0" w:before="0" w:line="276" w:lineRule="auto"/>
            <w:contextualSpacing w:val="0"/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</w:rPr>
            <w:t xml:space="preserve">Departament d’Ensenyament</w:t>
          </w:r>
        </w:p>
        <w:p w:rsidR="00000000" w:rsidDel="00000000" w:rsidP="00000000" w:rsidRDefault="00000000" w:rsidRPr="00000000">
          <w:pPr>
            <w:tabs>
              <w:tab w:val="center" w:pos="4252"/>
              <w:tab w:val="right" w:pos="8504"/>
            </w:tabs>
            <w:spacing w:after="0" w:before="0" w:line="276" w:lineRule="auto"/>
            <w:contextualSpacing w:val="0"/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</w:rPr>
            <w:t xml:space="preserve">Institut Palau Ausit                                               </w:t>
          </w:r>
          <w:r w:rsidDel="00000000" w:rsidR="00000000" w:rsidRPr="00000000">
            <w:drawing>
              <wp:anchor allowOverlap="0" behindDoc="0" distB="0" distT="0" distL="114300" distR="114300" hidden="0" layoutInCell="0" locked="0" relativeHeight="0" simplePos="0">
                <wp:simplePos x="0" y="0"/>
                <wp:positionH relativeFrom="margin">
                  <wp:posOffset>-63499</wp:posOffset>
                </wp:positionH>
                <wp:positionV relativeFrom="paragraph">
                  <wp:posOffset>381000</wp:posOffset>
                </wp:positionV>
                <wp:extent cx="5994400" cy="12700"/>
                <wp:effectExtent b="0" l="0" r="0" t="0"/>
                <wp:wrapNone/>
                <wp:docPr id="1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4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>
          <w:pPr>
            <w:tabs>
              <w:tab w:val="center" w:pos="4252"/>
              <w:tab w:val="right" w:pos="8504"/>
            </w:tabs>
            <w:spacing w:after="0" w:before="340" w:line="276" w:lineRule="auto"/>
            <w:contextualSpacing w:val="0"/>
          </w:pPr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</w:rPr>
            <w:t xml:space="preserve">CFGS Mecatrònica Industrial</w:t>
          </w:r>
        </w:p>
        <w:p w:rsidR="00000000" w:rsidDel="00000000" w:rsidP="00000000" w:rsidRDefault="00000000" w:rsidRPr="00000000">
          <w:pPr>
            <w:tabs>
              <w:tab w:val="center" w:pos="4252"/>
              <w:tab w:val="right" w:pos="8504"/>
            </w:tabs>
            <w:spacing w:after="0" w:before="0" w:line="276" w:lineRule="auto"/>
            <w:contextualSpacing w:val="0"/>
          </w:pPr>
          <w:r w:rsidDel="00000000" w:rsidR="00000000" w:rsidRPr="00000000">
            <w:rPr>
              <w:rFonts w:ascii="Calibri" w:cs="Calibri" w:eastAsia="Calibri" w:hAnsi="Calibri"/>
              <w:i w:val="1"/>
              <w:color w:val="70ad47"/>
              <w:sz w:val="18"/>
              <w:szCs w:val="18"/>
            </w:rPr>
            <w:t xml:space="preserve">Flexlink España S.L</w:t>
          </w:r>
          <w:r w:rsidDel="00000000" w:rsidR="00000000" w:rsidRPr="00000000">
            <w:rPr>
              <w:rFonts w:ascii="Calibri" w:cs="Calibri" w:eastAsia="Calibri" w:hAnsi="Calibri"/>
              <w:i w:val="1"/>
              <w:color w:val="ff0000"/>
              <w:sz w:val="18"/>
              <w:szCs w:val="18"/>
            </w:rPr>
            <w:t xml:space="preserve">.</w:t>
          </w:r>
        </w:p>
        <w:p w:rsidR="00000000" w:rsidDel="00000000" w:rsidP="00000000" w:rsidRDefault="00000000" w:rsidRPr="00000000">
          <w:pPr>
            <w:spacing w:line="276" w:lineRule="auto"/>
            <w:contextualSpacing w:val="0"/>
          </w:pPr>
          <w:r w:rsidDel="00000000" w:rsidR="00000000" w:rsidRPr="00000000">
            <w:rPr>
              <w:sz w:val="18"/>
              <w:szCs w:val="18"/>
            </w:rPr>
            <w:t xml:space="preserve">Jovani Campos | Oscar Rivera | Jorge Aranda | Pablo Uroz</w:t>
          </w:r>
        </w:p>
        <w:p w:rsidR="00000000" w:rsidDel="00000000" w:rsidP="00000000" w:rsidRDefault="00000000" w:rsidRPr="00000000">
          <w:pPr>
            <w:tabs>
              <w:tab w:val="center" w:pos="4252"/>
              <w:tab w:val="right" w:pos="8504"/>
            </w:tabs>
            <w:spacing w:after="0" w:before="0" w:line="276" w:lineRule="auto"/>
            <w:contextualSpacing w:val="0"/>
          </w:pPr>
          <w:r w:rsidDel="00000000" w:rsidR="00000000" w:rsidRPr="00000000">
            <w:rPr/>
          </w:r>
        </w:p>
      </w:tc>
    </w:tr>
  </w:tbl>
  <w:p w:rsidR="00000000" w:rsidDel="00000000" w:rsidP="00000000" w:rsidRDefault="00000000" w:rsidRPr="00000000">
    <w:pPr>
      <w:tabs>
        <w:tab w:val="center" w:pos="4252"/>
        <w:tab w:val="right" w:pos="8504"/>
      </w:tabs>
      <w:spacing w:after="0" w:before="0" w:line="240" w:lineRule="auto"/>
      <w:contextualSpacing w:val="0"/>
    </w:pPr>
    <w:r w:rsidDel="00000000" w:rsidR="00000000" w:rsidRPr="00000000">
      <w:rPr/>
    </w:r>
  </w:p>
  <w:p w:rsidR="00000000" w:rsidDel="00000000" w:rsidP="00000000" w:rsidRDefault="00000000" w:rsidRPr="00000000">
    <w:pPr>
      <w:tabs>
        <w:tab w:val="center" w:pos="4252"/>
        <w:tab w:val="right" w:pos="8504"/>
      </w:tabs>
      <w:spacing w:after="0" w:before="0" w:line="240" w:lineRule="auto"/>
      <w:contextualSpacing w:val="0"/>
    </w:pPr>
    <w:r w:rsidDel="00000000" w:rsidR="00000000" w:rsidRPr="00000000">
      <w:rPr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color w:val="000000"/>
        <w:sz w:val="22"/>
        <w:szCs w:val="22"/>
        <w:vertAlign w:val="baseline"/>
      </w:rPr>
    </w:rPrDefault>
    <w:pPrDefault>
      <w:pPr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9" Type="http://schemas.openxmlformats.org/officeDocument/2006/relationships/image" Target="media/image27.jpg"/><Relationship Id="rId18" Type="http://schemas.openxmlformats.org/officeDocument/2006/relationships/image" Target="media/image26.jpg"/><Relationship Id="rId17" Type="http://schemas.openxmlformats.org/officeDocument/2006/relationships/image" Target="media/image25.jpg"/><Relationship Id="rId16" Type="http://schemas.openxmlformats.org/officeDocument/2006/relationships/image" Target="media/image23.png"/><Relationship Id="rId15" Type="http://schemas.openxmlformats.org/officeDocument/2006/relationships/image" Target="media/image38.png"/><Relationship Id="rId14" Type="http://schemas.openxmlformats.org/officeDocument/2006/relationships/image" Target="media/image24.png"/><Relationship Id="rId21" Type="http://schemas.openxmlformats.org/officeDocument/2006/relationships/image" Target="media/image30.jpg"/><Relationship Id="rId2" Type="http://schemas.openxmlformats.org/officeDocument/2006/relationships/fontTable" Target="fontTable.xml"/><Relationship Id="rId12" Type="http://schemas.openxmlformats.org/officeDocument/2006/relationships/image" Target="media/image03.png"/><Relationship Id="rId22" Type="http://schemas.openxmlformats.org/officeDocument/2006/relationships/header" Target="header1.xml"/><Relationship Id="rId13" Type="http://schemas.openxmlformats.org/officeDocument/2006/relationships/image" Target="media/image41.png"/><Relationship Id="rId1" Type="http://schemas.openxmlformats.org/officeDocument/2006/relationships/settings" Target="settings.xml"/><Relationship Id="rId23" Type="http://schemas.openxmlformats.org/officeDocument/2006/relationships/footer" Target="footer1.xml"/><Relationship Id="rId4" Type="http://schemas.openxmlformats.org/officeDocument/2006/relationships/styles" Target="styles.xml"/><Relationship Id="rId10" Type="http://schemas.openxmlformats.org/officeDocument/2006/relationships/image" Target="media/image10.png"/><Relationship Id="rId3" Type="http://schemas.openxmlformats.org/officeDocument/2006/relationships/numbering" Target="numbering.xml"/><Relationship Id="rId11" Type="http://schemas.openxmlformats.org/officeDocument/2006/relationships/image" Target="media/image40.png"/><Relationship Id="rId20" Type="http://schemas.openxmlformats.org/officeDocument/2006/relationships/image" Target="media/image28.jpg"/><Relationship Id="rId9" Type="http://schemas.openxmlformats.org/officeDocument/2006/relationships/image" Target="media/image34.png"/><Relationship Id="rId6" Type="http://schemas.openxmlformats.org/officeDocument/2006/relationships/image" Target="media/image31.png"/><Relationship Id="rId5" Type="http://schemas.openxmlformats.org/officeDocument/2006/relationships/image" Target="media/image29.png"/><Relationship Id="rId8" Type="http://schemas.openxmlformats.org/officeDocument/2006/relationships/image" Target="media/image33.png"/><Relationship Id="rId7" Type="http://schemas.openxmlformats.org/officeDocument/2006/relationships/image" Target="media/image32.png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image" Target="media/image37.png"/><Relationship Id="rId1" Type="http://schemas.openxmlformats.org/officeDocument/2006/relationships/image" Target="media/image36.jpg"/></Relationships>
</file>

<file path=word/_rels/header1.xml.rels><?xml version="1.0" encoding="UTF-8" standalone="yes"?><Relationships xmlns="http://schemas.openxmlformats.org/package/2006/relationships"><Relationship Id="rId2" Type="http://schemas.openxmlformats.org/officeDocument/2006/relationships/image" Target="media/image39.png"/><Relationship Id="rId1" Type="http://schemas.openxmlformats.org/officeDocument/2006/relationships/image" Target="media/image35.jpg"/></Relationships>
</file>